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body>
    <w:p w14:paraId="01000000">
      <w:pPr>
        <w:spacing w:after="0"/>
        <w:ind/>
        <w:jc w:val="center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b w:val="1"/>
          <w:sz w:val="36"/>
        </w:rPr>
        <w:t xml:space="preserve">ПАСПОРТ </w:t>
      </w:r>
      <w:r>
        <w:rPr>
          <w:rFonts w:ascii="Times New Roman" w:hAnsi="Times New Roman"/>
          <w:b w:val="1"/>
          <w:sz w:val="36"/>
        </w:rPr>
        <w:t>КАБИНЕТ</w:t>
      </w:r>
      <w:r>
        <w:rPr>
          <w:rFonts w:ascii="Times New Roman" w:hAnsi="Times New Roman"/>
          <w:b w:val="1"/>
          <w:sz w:val="36"/>
        </w:rPr>
        <w:t>А</w:t>
      </w:r>
      <w:r>
        <w:rPr>
          <w:rFonts w:ascii="Times New Roman" w:hAnsi="Times New Roman"/>
          <w:b w:val="1"/>
          <w:sz w:val="36"/>
        </w:rPr>
        <w:t xml:space="preserve"> </w:t>
      </w:r>
    </w:p>
    <w:p w14:paraId="02000000">
      <w:pPr>
        <w:spacing w:after="0"/>
        <w:ind/>
        <w:jc w:val="center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b w:val="1"/>
          <w:sz w:val="36"/>
        </w:rPr>
        <w:t>УЧИТЕЛЯ-</w:t>
      </w:r>
      <w:r>
        <w:rPr>
          <w:rFonts w:ascii="Times New Roman" w:hAnsi="Times New Roman"/>
          <w:b w:val="1"/>
          <w:sz w:val="36"/>
        </w:rPr>
        <w:t>ЛОГОПЕД</w:t>
      </w:r>
      <w:r>
        <w:rPr>
          <w:rFonts w:ascii="Times New Roman" w:hAnsi="Times New Roman"/>
          <w:b w:val="1"/>
          <w:sz w:val="36"/>
        </w:rPr>
        <w:t>А</w:t>
      </w:r>
      <w:r>
        <w:rPr>
          <w:rFonts w:ascii="Times New Roman" w:hAnsi="Times New Roman"/>
          <w:b w:val="1"/>
          <w:sz w:val="36"/>
        </w:rPr>
        <w:t xml:space="preserve"> – 2</w:t>
      </w:r>
    </w:p>
    <w:p w14:paraId="03000000">
      <w:pPr>
        <w:spacing w:after="0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ул. Елизарьевых, 31</w:t>
      </w:r>
    </w:p>
    <w:p w14:paraId="04000000">
      <w:pPr>
        <w:spacing w:after="0"/>
        <w:ind/>
        <w:jc w:val="center"/>
        <w:rPr>
          <w:rFonts w:ascii="Times New Roman" w:hAnsi="Times New Roman"/>
          <w:sz w:val="28"/>
        </w:rPr>
      </w:pPr>
    </w:p>
    <w:p w14:paraId="05000000">
      <w:pPr>
        <w:spacing w:after="0"/>
        <w:ind/>
        <w:jc w:val="center"/>
        <w:rPr>
          <w:rFonts w:ascii="Times New Roman" w:hAnsi="Times New Roman"/>
          <w:sz w:val="28"/>
        </w:rPr>
      </w:pPr>
    </w:p>
    <w:tbl>
      <w:tblPr>
        <w:tblStyle w:val="Style_1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</w:tblPr>
      <w:tblGrid>
        <w:gridCol w:w="9571"/>
      </w:tblGrid>
      <w:tr>
        <w:tc>
          <w:tcPr>
            <w:tcW w:type="dxa" w:w="9571"/>
          </w:tcPr>
          <w:p w14:paraId="06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5734050" cy="3409950"/>
                  <wp:docPr id="1" name="Picture"/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 preferRelativeResize="true"/>
                        </pic:nvPicPr>
                        <pic:blipFill>
                          <a:blip r:embed="rId1" r:link=""/>
                          <a:srcRect b="0%" l="0%" r="0%" t="0%"/>
                          <a:stretch/>
                        </pic:blipFill>
                        <pic:spPr>
                          <a:xfrm rot="0">
                            <a:off x="0" y="0"/>
                            <a:ext cx="5734050" cy="34099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9571"/>
          </w:tcPr>
          <w:p w14:paraId="07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5717460" cy="3743325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 preferRelativeResize="true"/>
                        </pic:nvPicPr>
                        <pic:blipFill>
                          <a:blip r:embed="rId2" r:link=""/>
                          <a:srcRect b="0%" l="0%" r="0%" t="0%"/>
                          <a:stretch/>
                        </pic:blipFill>
                        <pic:spPr>
                          <a:xfrm rot="0">
                            <a:off x="0" y="0"/>
                            <a:ext cx="5717460" cy="37433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9571"/>
          </w:tcPr>
          <w:p w14:paraId="08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5695950" cy="3533775"/>
                  <wp:docPr id="3" name="Picture"/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 preferRelativeResize="true"/>
                        </pic:nvPicPr>
                        <pic:blipFill>
                          <a:blip r:embed="rId3" r:link=""/>
                          <a:srcRect b="0%" l="0%" r="0%" t="0%"/>
                          <a:stretch/>
                        </pic:blipFill>
                        <pic:spPr>
                          <a:xfrm rot="0">
                            <a:off x="0" y="0"/>
                            <a:ext cx="5695950" cy="35337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9571"/>
          </w:tcPr>
          <w:p w14:paraId="09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5686425" cy="3571875"/>
                  <wp:docPr id="4" name="Picture"/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 preferRelativeResize="true"/>
                        </pic:nvPicPr>
                        <pic:blipFill>
                          <a:blip r:embed="rId4" r:link=""/>
                          <a:srcRect b="0%" l="0%" r="0%" t="0%"/>
                          <a:stretch/>
                        </pic:blipFill>
                        <pic:spPr>
                          <a:xfrm rot="0">
                            <a:off x="0" y="0"/>
                            <a:ext cx="5686425" cy="35718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000000">
      <w:pPr>
        <w:spacing w:after="0"/>
        <w:ind/>
        <w:rPr>
          <w:rFonts w:ascii="Times New Roman" w:hAnsi="Times New Roman"/>
          <w:sz w:val="2"/>
        </w:rPr>
      </w:pPr>
    </w:p>
    <w:tbl>
      <w:tblPr>
        <w:tblStyle w:val="Style_1"/>
        <w:tblInd w:type="dxa" w:w="-529"/>
      </w:tblPr>
      <w:tblGrid>
        <w:gridCol w:w="560"/>
        <w:gridCol w:w="6470"/>
        <w:gridCol w:w="1971"/>
      </w:tblGrid>
      <w:tr>
        <w:tc>
          <w:tcPr>
            <w:tcW w:type="dxa" w:w="560"/>
          </w:tcPr>
          <w:p w14:paraId="0B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/п</w:t>
            </w:r>
          </w:p>
        </w:tc>
        <w:tc>
          <w:tcPr>
            <w:tcW w:type="dxa" w:w="6470"/>
          </w:tcPr>
          <w:p w14:paraId="0C000000">
            <w:pPr>
              <w:ind/>
              <w:jc w:val="center"/>
              <w:rPr>
                <w:rFonts w:ascii="Times New Roman" w:hAnsi="Times New Roman"/>
                <w:b w:val="1"/>
                <w:sz w:val="12"/>
              </w:rPr>
            </w:pPr>
          </w:p>
          <w:p w14:paraId="0D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Наименование</w:t>
            </w:r>
          </w:p>
        </w:tc>
        <w:tc>
          <w:tcPr>
            <w:tcW w:type="dxa" w:w="1971"/>
          </w:tcPr>
          <w:p w14:paraId="0E000000">
            <w:pPr>
              <w:ind/>
              <w:jc w:val="center"/>
              <w:rPr>
                <w:rFonts w:ascii="Times New Roman" w:hAnsi="Times New Roman"/>
                <w:b w:val="1"/>
                <w:sz w:val="12"/>
              </w:rPr>
            </w:pPr>
          </w:p>
          <w:p w14:paraId="0F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Обеспеченность</w:t>
            </w:r>
          </w:p>
        </w:tc>
      </w:tr>
      <w:tr>
        <w:tc>
          <w:tcPr>
            <w:tcW w:type="dxa" w:w="560"/>
          </w:tcPr>
          <w:p w14:paraId="1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type="dxa" w:w="6470"/>
          </w:tcPr>
          <w:p w14:paraId="1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Дидактический развивающий «Сундучок логопеда»</w:t>
            </w:r>
          </w:p>
        </w:tc>
        <w:tc>
          <w:tcPr>
            <w:tcW w:type="dxa" w:w="1971"/>
          </w:tcPr>
          <w:p w14:paraId="1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0"/>
          </w:tcPr>
          <w:p w14:paraId="1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type="dxa" w:w="6470"/>
          </w:tcPr>
          <w:p w14:paraId="1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Доска аудиторная магнитно-маркерная</w:t>
            </w:r>
          </w:p>
        </w:tc>
        <w:tc>
          <w:tcPr>
            <w:tcW w:type="dxa" w:w="1971"/>
          </w:tcPr>
          <w:p w14:paraId="1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0"/>
          </w:tcPr>
          <w:p w14:paraId="1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type="dxa" w:w="6470"/>
          </w:tcPr>
          <w:p w14:paraId="1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Интерактивный стол логопеда</w:t>
            </w:r>
          </w:p>
        </w:tc>
        <w:tc>
          <w:tcPr>
            <w:tcW w:type="dxa" w:w="1971"/>
          </w:tcPr>
          <w:p w14:paraId="1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0"/>
          </w:tcPr>
          <w:p w14:paraId="1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type="dxa" w:w="6470"/>
          </w:tcPr>
          <w:p w14:paraId="1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МФУ </w:t>
            </w:r>
            <w:r>
              <w:rPr>
                <w:rFonts w:ascii="Times New Roman" w:hAnsi="Times New Roman"/>
                <w:sz w:val="24"/>
              </w:rPr>
              <w:t>PANTUM CM 1100 SERIES</w:t>
            </w:r>
          </w:p>
        </w:tc>
        <w:tc>
          <w:tcPr>
            <w:tcW w:type="dxa" w:w="1971"/>
          </w:tcPr>
          <w:p w14:paraId="1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0"/>
          </w:tcPr>
          <w:p w14:paraId="1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type="dxa" w:w="6470"/>
          </w:tcPr>
          <w:p w14:paraId="1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Набор пособий для логопедов</w:t>
            </w:r>
          </w:p>
        </w:tc>
        <w:tc>
          <w:tcPr>
            <w:tcW w:type="dxa" w:w="1971"/>
          </w:tcPr>
          <w:p w14:paraId="1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0"/>
          </w:tcPr>
          <w:p w14:paraId="1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type="dxa" w:w="6470"/>
          </w:tcPr>
          <w:p w14:paraId="2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Ноутбук </w:t>
            </w:r>
          </w:p>
        </w:tc>
        <w:tc>
          <w:tcPr>
            <w:tcW w:type="dxa" w:w="1971"/>
          </w:tcPr>
          <w:p w14:paraId="2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0"/>
          </w:tcPr>
          <w:p w14:paraId="2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type="dxa" w:w="6470"/>
          </w:tcPr>
          <w:p w14:paraId="2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Парта одноместная регулируемая. </w:t>
            </w:r>
          </w:p>
        </w:tc>
        <w:tc>
          <w:tcPr>
            <w:tcW w:type="dxa" w:w="1971"/>
          </w:tcPr>
          <w:p w14:paraId="2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0"/>
          </w:tcPr>
          <w:p w14:paraId="25000000">
            <w:pPr>
              <w:ind/>
              <w:jc w:val="center"/>
              <w:rPr>
                <w:rFonts w:ascii="Times New Roman" w:hAnsi="Times New Roman"/>
                <w:sz w:val="12"/>
              </w:rPr>
            </w:pPr>
          </w:p>
          <w:p w14:paraId="2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type="dxa" w:w="6470"/>
          </w:tcPr>
          <w:p w14:paraId="2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Программно-аппаратный комплекс специалиста (учителя-логопеда)</w:t>
            </w:r>
          </w:p>
        </w:tc>
        <w:tc>
          <w:tcPr>
            <w:tcW w:type="dxa" w:w="1971"/>
          </w:tcPr>
          <w:p w14:paraId="28000000">
            <w:pPr>
              <w:ind/>
              <w:jc w:val="center"/>
              <w:rPr>
                <w:rFonts w:ascii="Times New Roman" w:hAnsi="Times New Roman"/>
                <w:sz w:val="12"/>
              </w:rPr>
            </w:pPr>
          </w:p>
          <w:p w14:paraId="2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0"/>
          </w:tcPr>
          <w:p w14:paraId="2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type="dxa" w:w="6470"/>
          </w:tcPr>
          <w:p w14:paraId="2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Стеллаж книжный </w:t>
            </w:r>
          </w:p>
        </w:tc>
        <w:tc>
          <w:tcPr>
            <w:tcW w:type="dxa" w:w="1971"/>
          </w:tcPr>
          <w:p w14:paraId="2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0"/>
          </w:tcPr>
          <w:p w14:paraId="2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type="dxa" w:w="6470"/>
          </w:tcPr>
          <w:p w14:paraId="2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Стул ученический</w:t>
            </w:r>
            <w:r>
              <w:rPr>
                <w:rFonts w:ascii="Times New Roman" w:hAnsi="Times New Roman"/>
                <w:sz w:val="24"/>
              </w:rPr>
              <w:t>, регулируемый по высоте.</w:t>
            </w:r>
          </w:p>
        </w:tc>
        <w:tc>
          <w:tcPr>
            <w:tcW w:type="dxa" w:w="1971"/>
          </w:tcPr>
          <w:p w14:paraId="2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0"/>
          </w:tcPr>
          <w:p w14:paraId="3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</w:t>
            </w:r>
          </w:p>
        </w:tc>
        <w:tc>
          <w:tcPr>
            <w:tcW w:type="dxa" w:w="6470"/>
          </w:tcPr>
          <w:p w14:paraId="3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Стул </w:t>
            </w:r>
            <w:r>
              <w:rPr>
                <w:rFonts w:ascii="Times New Roman" w:hAnsi="Times New Roman"/>
                <w:sz w:val="24"/>
              </w:rPr>
              <w:t>учительский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</w:p>
        </w:tc>
        <w:tc>
          <w:tcPr>
            <w:tcW w:type="dxa" w:w="1971"/>
          </w:tcPr>
          <w:p w14:paraId="3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0"/>
          </w:tcPr>
          <w:p w14:paraId="3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type="dxa" w:w="6470"/>
          </w:tcPr>
          <w:p w14:paraId="3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Учительский стол</w:t>
            </w:r>
            <w:r>
              <w:rPr>
                <w:rFonts w:ascii="Times New Roman" w:hAnsi="Times New Roman"/>
                <w:sz w:val="24"/>
              </w:rPr>
              <w:t xml:space="preserve"> с тумбой. </w:t>
            </w:r>
          </w:p>
        </w:tc>
        <w:tc>
          <w:tcPr>
            <w:tcW w:type="dxa" w:w="1971"/>
          </w:tcPr>
          <w:p w14:paraId="3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</w:tbl>
    <w:p w14:paraId="36000000">
      <w:pPr>
        <w:rPr>
          <w:rFonts w:ascii="Times New Roman" w:hAnsi="Times New Roman"/>
          <w:b w:val="1"/>
          <w:sz w:val="24"/>
        </w:rPr>
      </w:pPr>
      <w:bookmarkStart w:id="1" w:name="_GoBack"/>
      <w:bookmarkEnd w:id="1"/>
    </w:p>
    <w:sectPr>
      <w:pgSz w:h="16838" w:w="11906"/>
      <w:pgMar w:bottom="426" w:footer="708" w:gutter="0" w:header="708" w:left="1701" w:right="850" w:top="5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link w:val="Style_3_ch"/>
    <w:uiPriority w:val="39"/>
    <w:pPr>
      <w:ind w:firstLine="0" w:left="200"/>
    </w:pPr>
  </w:style>
  <w:style w:styleId="Style_3_ch" w:type="character">
    <w:name w:val="toc 2"/>
    <w:link w:val="Style_3"/>
  </w:style>
  <w:style w:styleId="Style_4" w:type="paragraph">
    <w:name w:val="toc 4"/>
    <w:link w:val="Style_4_ch"/>
    <w:uiPriority w:val="39"/>
    <w:pPr>
      <w:ind w:firstLine="0" w:left="600"/>
    </w:pPr>
  </w:style>
  <w:style w:styleId="Style_4_ch" w:type="character">
    <w:name w:val="toc 4"/>
    <w:link w:val="Style_4"/>
  </w:style>
  <w:style w:styleId="Style_5" w:type="paragraph">
    <w:name w:val="toc 6"/>
    <w:link w:val="Style_5_ch"/>
    <w:uiPriority w:val="39"/>
    <w:pPr>
      <w:ind w:firstLine="0" w:left="1000"/>
    </w:pPr>
  </w:style>
  <w:style w:styleId="Style_5_ch" w:type="character">
    <w:name w:val="toc 6"/>
    <w:link w:val="Style_5"/>
  </w:style>
  <w:style w:styleId="Style_6" w:type="paragraph">
    <w:name w:val="toc 7"/>
    <w:link w:val="Style_6_ch"/>
    <w:uiPriority w:val="39"/>
    <w:pPr>
      <w:ind w:firstLine="0" w:left="1200"/>
    </w:pPr>
  </w:style>
  <w:style w:styleId="Style_6_ch" w:type="character">
    <w:name w:val="toc 7"/>
    <w:link w:val="Style_6"/>
  </w:style>
  <w:style w:styleId="Style_7" w:type="paragraph">
    <w:name w:val="heading 3"/>
    <w:basedOn w:val="Style_2"/>
    <w:next w:val="Style_2"/>
    <w:link w:val="Style_7_ch"/>
    <w:uiPriority w:val="9"/>
    <w:qFormat/>
    <w:pPr>
      <w:keepNext w:val="1"/>
      <w:keepLines w:val="1"/>
      <w:spacing w:after="0" w:before="200"/>
      <w:ind/>
      <w:outlineLvl w:val="2"/>
    </w:pPr>
    <w:rPr>
      <w:rFonts w:asciiTheme="majorAscii" w:hAnsiTheme="majorHAnsi"/>
      <w:b w:val="1"/>
      <w:color w:themeColor="accent1" w:val="000000"/>
    </w:rPr>
  </w:style>
  <w:style w:styleId="Style_7_ch" w:type="character">
    <w:name w:val="heading 3"/>
    <w:basedOn w:val="Style_2_ch"/>
    <w:link w:val="Style_7"/>
    <w:rPr>
      <w:rFonts w:asciiTheme="majorAscii" w:hAnsiTheme="majorHAnsi"/>
      <w:b w:val="1"/>
      <w:color w:themeColor="accent1" w:val="000000"/>
    </w:rPr>
  </w:style>
  <w:style w:styleId="Style_8" w:type="paragraph">
    <w:name w:val="Balloon Text"/>
    <w:basedOn w:val="Style_2"/>
    <w:link w:val="Style_8_ch"/>
    <w:pPr>
      <w:spacing w:after="0" w:line="240" w:lineRule="auto"/>
      <w:ind/>
    </w:pPr>
    <w:rPr>
      <w:rFonts w:ascii="Tahoma" w:hAnsi="Tahoma"/>
      <w:sz w:val="16"/>
    </w:rPr>
  </w:style>
  <w:style w:styleId="Style_8_ch" w:type="character">
    <w:name w:val="Balloon Text"/>
    <w:basedOn w:val="Style_2_ch"/>
    <w:link w:val="Style_8"/>
    <w:rPr>
      <w:rFonts w:ascii="Tahoma" w:hAnsi="Tahoma"/>
      <w:sz w:val="16"/>
    </w:rPr>
  </w:style>
  <w:style w:styleId="Style_9" w:type="paragraph">
    <w:name w:val="toc 3"/>
    <w:link w:val="Style_9_ch"/>
    <w:uiPriority w:val="39"/>
    <w:pPr>
      <w:ind w:firstLine="0" w:left="400"/>
    </w:pPr>
  </w:style>
  <w:style w:styleId="Style_9_ch" w:type="character">
    <w:name w:val="toc 3"/>
    <w:link w:val="Style_9"/>
  </w:style>
  <w:style w:styleId="Style_10" w:type="paragraph">
    <w:name w:val="heading 5"/>
    <w:link w:val="Style_10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0_ch" w:type="character">
    <w:name w:val="heading 5"/>
    <w:link w:val="Style_10"/>
    <w:rPr>
      <w:rFonts w:ascii="XO Thames" w:hAnsi="XO Thames"/>
      <w:b w:val="1"/>
      <w:color w:val="000000"/>
      <w:sz w:val="22"/>
    </w:rPr>
  </w:style>
  <w:style w:styleId="Style_11" w:type="paragraph">
    <w:name w:val="heading 1"/>
    <w:basedOn w:val="Style_2"/>
    <w:next w:val="Style_2"/>
    <w:link w:val="Style_11_ch"/>
    <w:uiPriority w:val="9"/>
    <w:qFormat/>
    <w:pPr>
      <w:keepNext w:val="1"/>
      <w:keepLines w:val="1"/>
      <w:spacing w:after="0" w:before="480"/>
      <w:ind/>
      <w:outlineLvl w:val="0"/>
    </w:pPr>
    <w:rPr>
      <w:rFonts w:asciiTheme="majorAscii" w:hAnsiTheme="majorHAnsi"/>
      <w:b w:val="1"/>
      <w:color w:themeColor="accent1" w:themeShade="BF" w:val="000000"/>
      <w:sz w:val="28"/>
    </w:rPr>
  </w:style>
  <w:style w:styleId="Style_11_ch" w:type="character">
    <w:name w:val="heading 1"/>
    <w:basedOn w:val="Style_2_ch"/>
    <w:link w:val="Style_11"/>
    <w:rPr>
      <w:rFonts w:asciiTheme="majorAscii" w:hAnsiTheme="majorHAnsi"/>
      <w:b w:val="1"/>
      <w:color w:themeColor="accent1" w:themeShade="BF" w:val="000000"/>
      <w:sz w:val="28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ind/>
      <w:jc w:val="left"/>
    </w:pPr>
    <w:rPr>
      <w:rFonts w:ascii="XO Thames" w:hAnsi="XO Thames"/>
      <w:sz w:val="22"/>
    </w:rPr>
  </w:style>
  <w:style w:styleId="Style_13_ch" w:type="character">
    <w:name w:val="Footnote"/>
    <w:link w:val="Style_13"/>
    <w:rPr>
      <w:rFonts w:ascii="XO Thames" w:hAnsi="XO Thames"/>
      <w:sz w:val="22"/>
    </w:rPr>
  </w:style>
  <w:style w:styleId="Style_14" w:type="paragraph">
    <w:name w:val="toc 1"/>
    <w:link w:val="Style_14_ch"/>
    <w:uiPriority w:val="39"/>
    <w:pPr>
      <w:ind w:firstLine="0" w:left="0"/>
    </w:pPr>
    <w:rPr>
      <w:rFonts w:ascii="XO Thames" w:hAnsi="XO Thames"/>
      <w:b w:val="1"/>
    </w:rPr>
  </w:style>
  <w:style w:styleId="Style_14_ch" w:type="character">
    <w:name w:val="toc 1"/>
    <w:link w:val="Style_14"/>
    <w:rPr>
      <w:rFonts w:ascii="XO Thames" w:hAnsi="XO Thames"/>
      <w:b w:val="1"/>
    </w:rPr>
  </w:style>
  <w:style w:styleId="Style_15" w:type="paragraph">
    <w:name w:val="Header and Footer"/>
    <w:link w:val="Style_15_ch"/>
    <w:pPr>
      <w:spacing w:line="360" w:lineRule="auto"/>
      <w:ind/>
    </w:pPr>
    <w:rPr>
      <w:rFonts w:ascii="XO Thames" w:hAnsi="XO Thames"/>
      <w:sz w:val="20"/>
    </w:rPr>
  </w:style>
  <w:style w:styleId="Style_15_ch" w:type="character">
    <w:name w:val="Header and Footer"/>
    <w:link w:val="Style_15"/>
    <w:rPr>
      <w:rFonts w:ascii="XO Thames" w:hAnsi="XO Thames"/>
      <w:sz w:val="20"/>
    </w:rPr>
  </w:style>
  <w:style w:styleId="Style_16" w:type="paragraph">
    <w:name w:val="toc 9"/>
    <w:link w:val="Style_16_ch"/>
    <w:uiPriority w:val="39"/>
    <w:pPr>
      <w:ind w:firstLine="0" w:left="1600"/>
    </w:pPr>
  </w:style>
  <w:style w:styleId="Style_16_ch" w:type="character">
    <w:name w:val="toc 9"/>
    <w:link w:val="Style_16"/>
  </w:style>
  <w:style w:styleId="Style_17" w:type="paragraph">
    <w:name w:val="toc 8"/>
    <w:link w:val="Style_17_ch"/>
    <w:uiPriority w:val="39"/>
    <w:pPr>
      <w:ind w:firstLine="0" w:left="1400"/>
    </w:pPr>
  </w:style>
  <w:style w:styleId="Style_17_ch" w:type="character">
    <w:name w:val="toc 8"/>
    <w:link w:val="Style_17"/>
  </w:style>
  <w:style w:styleId="Style_18" w:type="paragraph">
    <w:name w:val="toc 5"/>
    <w:link w:val="Style_18_ch"/>
    <w:uiPriority w:val="39"/>
    <w:pPr>
      <w:ind w:firstLine="0" w:left="800"/>
    </w:pPr>
  </w:style>
  <w:style w:styleId="Style_18_ch" w:type="character">
    <w:name w:val="toc 5"/>
    <w:link w:val="Style_18"/>
  </w:style>
  <w:style w:styleId="Style_19" w:type="paragraph">
    <w:name w:val="Default Paragraph Font"/>
    <w:link w:val="Style_19_ch"/>
  </w:style>
  <w:style w:styleId="Style_19_ch" w:type="character">
    <w:name w:val="Default Paragraph Font"/>
    <w:link w:val="Style_19"/>
  </w:style>
  <w:style w:styleId="Style_20" w:type="paragraph">
    <w:name w:val="Subtitle"/>
    <w:link w:val="Style_20_ch"/>
    <w:uiPriority w:val="11"/>
    <w:qFormat/>
    <w:rPr>
      <w:rFonts w:ascii="XO Thames" w:hAnsi="XO Thames"/>
      <w:i w:val="1"/>
      <w:color w:val="616161"/>
      <w:sz w:val="24"/>
    </w:rPr>
  </w:style>
  <w:style w:styleId="Style_20_ch" w:type="character">
    <w:name w:val="Subtitle"/>
    <w:link w:val="Style_20"/>
    <w:rPr>
      <w:rFonts w:ascii="XO Thames" w:hAnsi="XO Thames"/>
      <w:i w:val="1"/>
      <w:color w:val="616161"/>
      <w:sz w:val="24"/>
    </w:rPr>
  </w:style>
  <w:style w:styleId="Style_21" w:type="paragraph">
    <w:name w:val="toc 10"/>
    <w:link w:val="Style_21_ch"/>
    <w:uiPriority w:val="39"/>
    <w:pPr>
      <w:ind w:firstLine="0" w:left="1800"/>
    </w:pPr>
  </w:style>
  <w:style w:styleId="Style_21_ch" w:type="character">
    <w:name w:val="toc 10"/>
    <w:link w:val="Style_21"/>
  </w:style>
  <w:style w:styleId="Style_22" w:type="paragraph">
    <w:name w:val="Title"/>
    <w:link w:val="Style_22_ch"/>
    <w:uiPriority w:val="10"/>
    <w:qFormat/>
    <w:rPr>
      <w:rFonts w:ascii="XO Thames" w:hAnsi="XO Thames"/>
      <w:b w:val="1"/>
      <w:sz w:val="52"/>
    </w:rPr>
  </w:style>
  <w:style w:styleId="Style_22_ch" w:type="character">
    <w:name w:val="Title"/>
    <w:link w:val="Style_22"/>
    <w:rPr>
      <w:rFonts w:ascii="XO Thames" w:hAnsi="XO Thames"/>
      <w:b w:val="1"/>
      <w:sz w:val="52"/>
    </w:rPr>
  </w:style>
  <w:style w:styleId="Style_23" w:type="paragraph">
    <w:name w:val="heading 4"/>
    <w:link w:val="Style_23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3_ch" w:type="character">
    <w:name w:val="heading 4"/>
    <w:link w:val="Style_23"/>
    <w:rPr>
      <w:rFonts w:ascii="XO Thames" w:hAnsi="XO Thames"/>
      <w:b w:val="1"/>
      <w:color w:val="595959"/>
      <w:sz w:val="26"/>
    </w:rPr>
  </w:style>
  <w:style w:styleId="Style_24" w:type="paragraph">
    <w:name w:val="heading 2"/>
    <w:basedOn w:val="Style_2"/>
    <w:next w:val="Style_2"/>
    <w:link w:val="Style_24_ch"/>
    <w:uiPriority w:val="9"/>
    <w:qFormat/>
    <w:pPr>
      <w:keepNext w:val="1"/>
      <w:keepLines w:val="1"/>
      <w:spacing w:after="0" w:before="200"/>
      <w:ind/>
      <w:outlineLvl w:val="1"/>
    </w:pPr>
    <w:rPr>
      <w:rFonts w:asciiTheme="majorAscii" w:hAnsiTheme="majorHAnsi"/>
      <w:b w:val="1"/>
      <w:color w:themeColor="accent1" w:val="000000"/>
      <w:sz w:val="26"/>
    </w:rPr>
  </w:style>
  <w:style w:styleId="Style_24_ch" w:type="character">
    <w:name w:val="heading 2"/>
    <w:basedOn w:val="Style_2_ch"/>
    <w:link w:val="Style_24"/>
    <w:rPr>
      <w:rFonts w:asciiTheme="majorAscii" w:hAnsiTheme="majorHAnsi"/>
      <w:b w:val="1"/>
      <w:color w:themeColor="accent1" w:val="000000"/>
      <w:sz w:val="26"/>
    </w:rPr>
  </w:style>
  <w:style w:styleId="Style_1" w:type="table">
    <w:name w:val="Table Grid"/>
    <w:basedOn w:val="Style_25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0" Target="theme/theme1.xml" Type="http://schemas.openxmlformats.org/officeDocument/2006/relationships/theme"/>
  <Relationship Id="rId7" Target="styles.xml" Type="http://schemas.openxmlformats.org/officeDocument/2006/relationships/styles"/>
  <Relationship Id="rId6" Target="settings.xml" Type="http://schemas.openxmlformats.org/officeDocument/2006/relationships/settings"/>
  <Relationship Id="rId9" Target="webSettings.xml" Type="http://schemas.openxmlformats.org/officeDocument/2006/relationships/webSettings"/>
  <Relationship Id="rId5" Target="fontTable.xml" Type="http://schemas.openxmlformats.org/officeDocument/2006/relationships/fontTable"/>
  <Relationship Id="rId8" Target="stylesWithEffects.xml" Type="http://schemas.microsoft.com/office/2007/relationships/stylesWithEffects"/>
  <Relationship Id="rId4" Target="media/4.png" Type="http://schemas.openxmlformats.org/officeDocument/2006/relationships/image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</a:gradFill>
        <a:gradFill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</a:gradFill>
      </a:fillStyleLst>
      <a:lnStyleLst>
        <a:ln w="9525">
          <a:solidFill>
            <a:schemeClr val="phClr">
              <a:shade val="95%"/>
              <a:satMod val="105%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</a:gradFill>
        <a:gradFill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MyOffice-CoreFramework-Windows/15.0-625.146.3192.258.0@RELEASE-DESKTOP-NUTMEG-ST-2</Application>
</Properties>
</file>